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71" w:rsidRPr="00900ED6" w:rsidRDefault="00900ED6" w:rsidP="00900ED6">
      <w:pPr>
        <w:tabs>
          <w:tab w:val="center" w:pos="4603"/>
          <w:tab w:val="right" w:pos="9206"/>
        </w:tabs>
        <w:rPr>
          <w:rFonts w:ascii="Arial" w:hAnsi="Arial"/>
          <w:b/>
        </w:rPr>
      </w:pPr>
      <w:r w:rsidRPr="00900ED6">
        <w:rPr>
          <w:rFonts w:ascii="Arial" w:hAnsi="Arial"/>
          <w:b/>
        </w:rPr>
        <w:tab/>
      </w:r>
      <w:r w:rsidRPr="00900ED6">
        <w:rPr>
          <w:rFonts w:ascii="Arial" w:hAnsi="Arial"/>
          <w:b/>
        </w:rPr>
        <w:tab/>
      </w:r>
      <w:r w:rsidR="00E64471" w:rsidRPr="00900ED6">
        <w:rPr>
          <w:rFonts w:ascii="Arial" w:hAnsi="Arial"/>
          <w:b/>
        </w:rPr>
        <w:t>Résumé</w:t>
      </w:r>
      <w:r w:rsidRPr="00900ED6">
        <w:rPr>
          <w:rFonts w:ascii="Arial" w:hAnsi="Arial"/>
          <w:b/>
        </w:rPr>
        <w:t>s des communications symposium</w:t>
      </w:r>
    </w:p>
    <w:p w:rsidR="00900ED6" w:rsidRDefault="00900ED6"/>
    <w:p w:rsidR="00900ED6" w:rsidRDefault="00900ED6"/>
    <w:p w:rsidR="0085278F" w:rsidRDefault="0085278F"/>
    <w:p w:rsidR="0085278F" w:rsidRDefault="0085278F"/>
    <w:p w:rsidR="0085278F" w:rsidRDefault="0085278F"/>
    <w:p w:rsidR="00900ED6" w:rsidRDefault="00900ED6"/>
    <w:p w:rsidR="00E64471" w:rsidRDefault="00E64471"/>
    <w:tbl>
      <w:tblPr>
        <w:tblW w:w="10433"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787"/>
        <w:gridCol w:w="787"/>
        <w:gridCol w:w="8859"/>
      </w:tblGrid>
      <w:tr w:rsidR="0085278F">
        <w:tblPrEx>
          <w:tblCellMar>
            <w:top w:w="0" w:type="dxa"/>
            <w:bottom w:w="0" w:type="dxa"/>
          </w:tblCellMar>
        </w:tblPrEx>
        <w:trPr>
          <w:cantSplit/>
          <w:trHeight w:val="1134"/>
        </w:trPr>
        <w:tc>
          <w:tcPr>
            <w:tcW w:w="787" w:type="dxa"/>
            <w:vMerge w:val="restart"/>
            <w:tcBorders>
              <w:top w:val="double" w:sz="12" w:space="0" w:color="000000"/>
              <w:left w:val="double" w:sz="12" w:space="0" w:color="000000"/>
              <w:right w:val="single" w:sz="4" w:space="0" w:color="auto"/>
            </w:tcBorders>
            <w:tcMar>
              <w:left w:w="80" w:type="dxa"/>
              <w:right w:w="80" w:type="dxa"/>
            </w:tcMar>
            <w:textDirection w:val="btLr"/>
            <w:vAlign w:val="center"/>
          </w:tcPr>
          <w:p w:rsidR="0085278F" w:rsidRDefault="0085278F" w:rsidP="00E64471">
            <w:pPr>
              <w:pStyle w:val="normal0"/>
              <w:spacing w:line="240" w:lineRule="auto"/>
              <w:jc w:val="center"/>
            </w:pPr>
            <w:r>
              <w:t>9h30 - 10h30</w:t>
            </w:r>
          </w:p>
        </w:tc>
        <w:tc>
          <w:tcPr>
            <w:tcW w:w="787" w:type="dxa"/>
            <w:tcBorders>
              <w:top w:val="double" w:sz="12" w:space="0" w:color="000000"/>
              <w:left w:val="single" w:sz="4" w:space="0" w:color="auto"/>
              <w:bottom w:val="single" w:sz="4" w:space="0" w:color="auto"/>
              <w:right w:val="single" w:sz="4" w:space="0" w:color="auto"/>
            </w:tcBorders>
            <w:tcMar>
              <w:left w:w="80" w:type="dxa"/>
              <w:right w:w="80" w:type="dxa"/>
            </w:tcMar>
            <w:textDirection w:val="btLr"/>
          </w:tcPr>
          <w:p w:rsidR="0085278F" w:rsidRDefault="0085278F" w:rsidP="00E64471">
            <w:pPr>
              <w:pStyle w:val="normal0"/>
              <w:spacing w:line="240" w:lineRule="auto"/>
              <w:jc w:val="center"/>
            </w:pPr>
            <w:r>
              <w:t>Titre et auteurs</w:t>
            </w:r>
          </w:p>
        </w:tc>
        <w:tc>
          <w:tcPr>
            <w:tcW w:w="8859" w:type="dxa"/>
            <w:tcBorders>
              <w:top w:val="double" w:sz="12" w:space="0" w:color="000000"/>
              <w:left w:val="single" w:sz="4" w:space="0" w:color="auto"/>
              <w:bottom w:val="single" w:sz="4" w:space="0" w:color="auto"/>
              <w:right w:val="double" w:sz="12" w:space="0" w:color="000000"/>
            </w:tcBorders>
            <w:tcMar>
              <w:left w:w="80" w:type="dxa"/>
              <w:right w:w="80" w:type="dxa"/>
            </w:tcMar>
          </w:tcPr>
          <w:p w:rsidR="0085278F" w:rsidRDefault="0085278F" w:rsidP="00E64471">
            <w:pPr>
              <w:pStyle w:val="normal0"/>
              <w:ind w:left="-59"/>
              <w:jc w:val="both"/>
              <w:rPr>
                <w:rFonts w:cs="Times New Roman"/>
                <w:szCs w:val="28"/>
                <w:lang w:val="fr-CA"/>
              </w:rPr>
            </w:pPr>
            <w:r w:rsidRPr="00784E97">
              <w:rPr>
                <w:rFonts w:cs="Times New Roman"/>
                <w:szCs w:val="28"/>
                <w:lang w:val="fr-CA"/>
              </w:rPr>
              <w:t>Un regard rétrospectif sur le développement professionnel des enseignants dans le modèle de l’École éloignée en réseau</w:t>
            </w:r>
          </w:p>
          <w:p w:rsidR="0085278F" w:rsidRDefault="0085278F" w:rsidP="00E64471">
            <w:pPr>
              <w:pStyle w:val="normal0"/>
              <w:ind w:left="-59"/>
              <w:jc w:val="both"/>
              <w:rPr>
                <w:b/>
                <w:i/>
              </w:rPr>
            </w:pPr>
          </w:p>
          <w:p w:rsidR="0085278F" w:rsidRPr="0089607D" w:rsidRDefault="0085278F" w:rsidP="001A6CAA">
            <w:pPr>
              <w:pStyle w:val="normal0"/>
              <w:spacing w:line="240" w:lineRule="auto"/>
              <w:ind w:left="-59"/>
              <w:jc w:val="right"/>
              <w:rPr>
                <w:b/>
                <w:i/>
              </w:rPr>
            </w:pPr>
            <w:r w:rsidRPr="0089607D">
              <w:rPr>
                <w:b/>
                <w:i/>
              </w:rPr>
              <w:t xml:space="preserve"> Christine Hamel et Thérèse </w:t>
            </w:r>
            <w:proofErr w:type="spellStart"/>
            <w:r w:rsidRPr="0089607D">
              <w:rPr>
                <w:b/>
                <w:i/>
              </w:rPr>
              <w:t>Laferrière</w:t>
            </w:r>
            <w:proofErr w:type="spellEnd"/>
            <w:r w:rsidRPr="0089607D">
              <w:rPr>
                <w:b/>
                <w:i/>
              </w:rPr>
              <w:t>, Université Laval</w:t>
            </w:r>
          </w:p>
          <w:p w:rsidR="0085278F" w:rsidRPr="0089607D" w:rsidRDefault="0085278F" w:rsidP="001A6CAA">
            <w:pPr>
              <w:pStyle w:val="normal0"/>
              <w:spacing w:line="240" w:lineRule="auto"/>
              <w:ind w:left="-59"/>
              <w:jc w:val="right"/>
              <w:rPr>
                <w:b/>
                <w:i/>
              </w:rPr>
            </w:pPr>
            <w:r w:rsidRPr="0089607D">
              <w:rPr>
                <w:b/>
                <w:i/>
              </w:rPr>
              <w:t xml:space="preserve">Sandrine </w:t>
            </w:r>
            <w:proofErr w:type="spellStart"/>
            <w:r w:rsidRPr="0089607D">
              <w:rPr>
                <w:b/>
                <w:i/>
              </w:rPr>
              <w:t>Turcotte</w:t>
            </w:r>
            <w:proofErr w:type="spellEnd"/>
            <w:r w:rsidRPr="0089607D">
              <w:rPr>
                <w:b/>
                <w:i/>
              </w:rPr>
              <w:t>, Université du Québec en Outaouais</w:t>
            </w:r>
          </w:p>
          <w:p w:rsidR="0085278F" w:rsidRDefault="0085278F" w:rsidP="001A6CAA">
            <w:pPr>
              <w:pStyle w:val="normal0"/>
              <w:spacing w:line="240" w:lineRule="auto"/>
              <w:ind w:left="-59"/>
              <w:jc w:val="right"/>
            </w:pPr>
            <w:r w:rsidRPr="0089607D">
              <w:rPr>
                <w:b/>
                <w:i/>
              </w:rPr>
              <w:t>Stéphane Allaire, Université du Québec à Chicoutimi</w:t>
            </w:r>
          </w:p>
        </w:tc>
      </w:tr>
      <w:tr w:rsidR="0085278F">
        <w:tblPrEx>
          <w:tblCellMar>
            <w:top w:w="0" w:type="dxa"/>
            <w:bottom w:w="0" w:type="dxa"/>
          </w:tblCellMar>
        </w:tblPrEx>
        <w:trPr>
          <w:cantSplit/>
          <w:trHeight w:val="1134"/>
        </w:trPr>
        <w:tc>
          <w:tcPr>
            <w:tcW w:w="787" w:type="dxa"/>
            <w:vMerge/>
            <w:tcBorders>
              <w:left w:val="double" w:sz="12" w:space="0" w:color="000000"/>
              <w:bottom w:val="double" w:sz="12" w:space="0" w:color="auto"/>
              <w:right w:val="single" w:sz="4" w:space="0" w:color="auto"/>
            </w:tcBorders>
            <w:tcMar>
              <w:left w:w="80" w:type="dxa"/>
              <w:right w:w="80" w:type="dxa"/>
            </w:tcMar>
            <w:textDirection w:val="btLr"/>
            <w:vAlign w:val="center"/>
          </w:tcPr>
          <w:p w:rsidR="0085278F" w:rsidRPr="0089607D" w:rsidRDefault="0085278F" w:rsidP="00E64471">
            <w:pPr>
              <w:pStyle w:val="normal0"/>
              <w:spacing w:line="240" w:lineRule="auto"/>
              <w:jc w:val="center"/>
            </w:pPr>
          </w:p>
        </w:tc>
        <w:tc>
          <w:tcPr>
            <w:tcW w:w="787" w:type="dxa"/>
            <w:tcBorders>
              <w:top w:val="single" w:sz="4" w:space="0" w:color="auto"/>
              <w:left w:val="single" w:sz="4" w:space="0" w:color="auto"/>
              <w:bottom w:val="double" w:sz="12" w:space="0" w:color="auto"/>
              <w:right w:val="single" w:sz="4" w:space="0" w:color="auto"/>
            </w:tcBorders>
            <w:tcMar>
              <w:left w:w="80" w:type="dxa"/>
              <w:right w:w="80" w:type="dxa"/>
            </w:tcMar>
            <w:textDirection w:val="btLr"/>
          </w:tcPr>
          <w:p w:rsidR="0085278F" w:rsidRPr="0089607D" w:rsidRDefault="0085278F" w:rsidP="00E64471">
            <w:pPr>
              <w:pStyle w:val="normal0"/>
              <w:spacing w:line="240" w:lineRule="auto"/>
              <w:jc w:val="center"/>
            </w:pPr>
            <w:r>
              <w:t>Résumé</w:t>
            </w:r>
          </w:p>
        </w:tc>
        <w:tc>
          <w:tcPr>
            <w:tcW w:w="8859" w:type="dxa"/>
            <w:tcBorders>
              <w:top w:val="single" w:sz="4" w:space="0" w:color="auto"/>
              <w:left w:val="single" w:sz="4" w:space="0" w:color="auto"/>
              <w:bottom w:val="double" w:sz="12" w:space="0" w:color="auto"/>
              <w:right w:val="double" w:sz="12" w:space="0" w:color="000000"/>
            </w:tcBorders>
            <w:tcMar>
              <w:left w:w="80" w:type="dxa"/>
              <w:right w:w="80" w:type="dxa"/>
            </w:tcMar>
          </w:tcPr>
          <w:p w:rsidR="0085278F" w:rsidRPr="00E64471" w:rsidRDefault="0085278F" w:rsidP="00E64471">
            <w:pPr>
              <w:widowControl w:val="0"/>
              <w:autoSpaceDE w:val="0"/>
              <w:autoSpaceDN w:val="0"/>
              <w:adjustRightInd w:val="0"/>
              <w:jc w:val="both"/>
              <w:rPr>
                <w:rFonts w:ascii="DejaVuSans" w:hAnsi="DejaVuSans" w:cs="DejaVuSans"/>
                <w:sz w:val="18"/>
                <w:szCs w:val="18"/>
              </w:rPr>
            </w:pPr>
          </w:p>
        </w:tc>
      </w:tr>
      <w:tr w:rsidR="0085278F">
        <w:tblPrEx>
          <w:tblCellMar>
            <w:top w:w="0" w:type="dxa"/>
            <w:bottom w:w="0" w:type="dxa"/>
          </w:tblCellMar>
        </w:tblPrEx>
        <w:trPr>
          <w:cantSplit/>
          <w:trHeight w:val="1134"/>
        </w:trPr>
        <w:tc>
          <w:tcPr>
            <w:tcW w:w="787" w:type="dxa"/>
            <w:vMerge w:val="restart"/>
            <w:tcBorders>
              <w:top w:val="double" w:sz="12" w:space="0" w:color="auto"/>
              <w:left w:val="double" w:sz="12" w:space="0" w:color="auto"/>
              <w:right w:val="single" w:sz="4" w:space="0" w:color="auto"/>
            </w:tcBorders>
            <w:tcMar>
              <w:left w:w="80" w:type="dxa"/>
              <w:right w:w="80" w:type="dxa"/>
            </w:tcMar>
            <w:textDirection w:val="btLr"/>
            <w:vAlign w:val="center"/>
          </w:tcPr>
          <w:p w:rsidR="0085278F" w:rsidRPr="0089607D" w:rsidRDefault="0085278F" w:rsidP="00E64471">
            <w:pPr>
              <w:pStyle w:val="normal0"/>
              <w:spacing w:line="240" w:lineRule="auto"/>
              <w:jc w:val="center"/>
            </w:pPr>
            <w:r w:rsidRPr="0089607D">
              <w:t>11h00 – 12h00</w:t>
            </w:r>
          </w:p>
        </w:tc>
        <w:tc>
          <w:tcPr>
            <w:tcW w:w="787" w:type="dxa"/>
            <w:tcBorders>
              <w:top w:val="double" w:sz="12" w:space="0" w:color="auto"/>
              <w:left w:val="single" w:sz="4" w:space="0" w:color="auto"/>
              <w:bottom w:val="single" w:sz="4" w:space="0" w:color="auto"/>
              <w:right w:val="single" w:sz="4" w:space="0" w:color="auto"/>
            </w:tcBorders>
            <w:tcMar>
              <w:left w:w="80" w:type="dxa"/>
              <w:right w:w="80" w:type="dxa"/>
            </w:tcMar>
            <w:textDirection w:val="btLr"/>
          </w:tcPr>
          <w:p w:rsidR="0085278F" w:rsidRDefault="0085278F" w:rsidP="00E64471">
            <w:pPr>
              <w:pStyle w:val="normal0"/>
              <w:spacing w:line="240" w:lineRule="auto"/>
              <w:jc w:val="center"/>
            </w:pPr>
            <w:r>
              <w:t>Titre et auteurs</w:t>
            </w:r>
          </w:p>
        </w:tc>
        <w:tc>
          <w:tcPr>
            <w:tcW w:w="8859" w:type="dxa"/>
            <w:tcBorders>
              <w:top w:val="double" w:sz="12" w:space="0" w:color="auto"/>
              <w:left w:val="single" w:sz="4" w:space="0" w:color="auto"/>
              <w:bottom w:val="single" w:sz="4" w:space="0" w:color="auto"/>
              <w:right w:val="double" w:sz="12" w:space="0" w:color="auto"/>
            </w:tcBorders>
            <w:tcMar>
              <w:left w:w="80" w:type="dxa"/>
              <w:right w:w="80" w:type="dxa"/>
            </w:tcMar>
          </w:tcPr>
          <w:p w:rsidR="0085278F" w:rsidRDefault="0085278F" w:rsidP="00E64471">
            <w:pPr>
              <w:widowControl w:val="0"/>
              <w:autoSpaceDE w:val="0"/>
              <w:autoSpaceDN w:val="0"/>
              <w:adjustRightInd w:val="0"/>
              <w:jc w:val="both"/>
              <w:rPr>
                <w:rFonts w:ascii="Arial" w:hAnsi="Arial" w:cs="DejaVuSans"/>
                <w:sz w:val="22"/>
                <w:szCs w:val="32"/>
              </w:rPr>
            </w:pPr>
            <w:r w:rsidRPr="0089607D">
              <w:rPr>
                <w:rFonts w:ascii="Arial" w:hAnsi="Arial" w:cs="DejaVuSans"/>
                <w:sz w:val="22"/>
                <w:szCs w:val="32"/>
              </w:rPr>
              <w:t>L'utilisation de tablettes numériques dans des classes de troisième secondaire : retombées, difficultés, exigences et besoins de formation émergents</w:t>
            </w:r>
          </w:p>
          <w:p w:rsidR="0085278F" w:rsidRPr="0089607D" w:rsidRDefault="0085278F" w:rsidP="00E64471">
            <w:pPr>
              <w:widowControl w:val="0"/>
              <w:autoSpaceDE w:val="0"/>
              <w:autoSpaceDN w:val="0"/>
              <w:adjustRightInd w:val="0"/>
              <w:jc w:val="both"/>
              <w:rPr>
                <w:rFonts w:ascii="Arial" w:hAnsi="Arial" w:cs="DejaVuSans"/>
                <w:sz w:val="22"/>
                <w:szCs w:val="32"/>
              </w:rPr>
            </w:pPr>
          </w:p>
          <w:p w:rsidR="0085278F" w:rsidRDefault="0085278F" w:rsidP="001A6CAA">
            <w:pPr>
              <w:widowControl w:val="0"/>
              <w:autoSpaceDE w:val="0"/>
              <w:autoSpaceDN w:val="0"/>
              <w:adjustRightInd w:val="0"/>
              <w:jc w:val="right"/>
              <w:rPr>
                <w:rFonts w:ascii="Arial" w:hAnsi="Arial" w:cs="DejaVuSans"/>
                <w:b/>
                <w:i/>
                <w:sz w:val="22"/>
                <w:szCs w:val="20"/>
              </w:rPr>
            </w:pPr>
            <w:r w:rsidRPr="00E64471">
              <w:rPr>
                <w:rFonts w:ascii="Arial" w:hAnsi="Arial" w:cs="DejaVuSans"/>
                <w:b/>
                <w:i/>
                <w:sz w:val="22"/>
                <w:szCs w:val="20"/>
              </w:rPr>
              <w:t>Patrick Giroux, S</w:t>
            </w:r>
            <w:r>
              <w:rPr>
                <w:rFonts w:ascii="Arial" w:hAnsi="Arial" w:cs="DejaVuSans"/>
                <w:b/>
                <w:i/>
                <w:sz w:val="22"/>
                <w:szCs w:val="20"/>
              </w:rPr>
              <w:t xml:space="preserve">andra </w:t>
            </w:r>
            <w:proofErr w:type="spellStart"/>
            <w:r>
              <w:rPr>
                <w:rFonts w:ascii="Arial" w:hAnsi="Arial" w:cs="DejaVuSans"/>
                <w:b/>
                <w:i/>
                <w:sz w:val="22"/>
                <w:szCs w:val="20"/>
              </w:rPr>
              <w:t>Coulombe</w:t>
            </w:r>
            <w:proofErr w:type="spellEnd"/>
            <w:r>
              <w:rPr>
                <w:rFonts w:ascii="Arial" w:hAnsi="Arial" w:cs="DejaVuSans"/>
                <w:b/>
                <w:i/>
                <w:sz w:val="22"/>
                <w:szCs w:val="20"/>
              </w:rPr>
              <w:t xml:space="preserve"> (UQAC &amp; CRIFPE),</w:t>
            </w:r>
          </w:p>
          <w:p w:rsidR="0085278F" w:rsidRPr="00E64471" w:rsidRDefault="0085278F" w:rsidP="001A6CAA">
            <w:pPr>
              <w:widowControl w:val="0"/>
              <w:autoSpaceDE w:val="0"/>
              <w:autoSpaceDN w:val="0"/>
              <w:adjustRightInd w:val="0"/>
              <w:jc w:val="right"/>
              <w:rPr>
                <w:rFonts w:ascii="Arial" w:hAnsi="Arial" w:cs="DejaVuSans"/>
                <w:b/>
                <w:i/>
                <w:sz w:val="22"/>
                <w:szCs w:val="20"/>
              </w:rPr>
            </w:pPr>
            <w:r w:rsidRPr="00E64471">
              <w:rPr>
                <w:rFonts w:ascii="Arial" w:hAnsi="Arial" w:cs="DejaVuSans"/>
                <w:b/>
                <w:i/>
                <w:sz w:val="22"/>
                <w:szCs w:val="20"/>
              </w:rPr>
              <w:t xml:space="preserve">Nadia Cody (UQAC), Suzie </w:t>
            </w:r>
            <w:proofErr w:type="spellStart"/>
            <w:r w:rsidRPr="00E64471">
              <w:rPr>
                <w:rFonts w:ascii="Arial" w:hAnsi="Arial" w:cs="DejaVuSans"/>
                <w:b/>
                <w:i/>
                <w:sz w:val="22"/>
                <w:szCs w:val="20"/>
              </w:rPr>
              <w:t>Gaudreault</w:t>
            </w:r>
            <w:proofErr w:type="spellEnd"/>
            <w:r w:rsidRPr="00E64471">
              <w:rPr>
                <w:rFonts w:ascii="Arial" w:hAnsi="Arial" w:cs="DejaVuSans"/>
                <w:b/>
                <w:i/>
                <w:sz w:val="22"/>
                <w:szCs w:val="20"/>
              </w:rPr>
              <w:t xml:space="preserve"> (UQAC &amp; CRIFPE)</w:t>
            </w:r>
          </w:p>
        </w:tc>
      </w:tr>
      <w:tr w:rsidR="0085278F">
        <w:tblPrEx>
          <w:tblCellMar>
            <w:top w:w="0" w:type="dxa"/>
            <w:bottom w:w="0" w:type="dxa"/>
          </w:tblCellMar>
        </w:tblPrEx>
        <w:trPr>
          <w:cantSplit/>
          <w:trHeight w:val="1134"/>
        </w:trPr>
        <w:tc>
          <w:tcPr>
            <w:tcW w:w="787" w:type="dxa"/>
            <w:vMerge/>
            <w:tcBorders>
              <w:left w:val="double" w:sz="12" w:space="0" w:color="auto"/>
              <w:bottom w:val="double" w:sz="12" w:space="0" w:color="auto"/>
              <w:right w:val="single" w:sz="4" w:space="0" w:color="auto"/>
            </w:tcBorders>
            <w:tcMar>
              <w:left w:w="80" w:type="dxa"/>
              <w:right w:w="80" w:type="dxa"/>
            </w:tcMar>
            <w:textDirection w:val="btLr"/>
            <w:vAlign w:val="center"/>
          </w:tcPr>
          <w:p w:rsidR="0085278F" w:rsidRDefault="0085278F" w:rsidP="00E64471">
            <w:pPr>
              <w:pStyle w:val="normal0"/>
              <w:spacing w:line="240" w:lineRule="auto"/>
              <w:jc w:val="center"/>
            </w:pPr>
          </w:p>
        </w:tc>
        <w:tc>
          <w:tcPr>
            <w:tcW w:w="787" w:type="dxa"/>
            <w:tcBorders>
              <w:top w:val="single" w:sz="4" w:space="0" w:color="auto"/>
              <w:left w:val="single" w:sz="4" w:space="0" w:color="auto"/>
              <w:bottom w:val="double" w:sz="12" w:space="0" w:color="auto"/>
              <w:right w:val="single" w:sz="4" w:space="0" w:color="auto"/>
            </w:tcBorders>
            <w:tcMar>
              <w:left w:w="80" w:type="dxa"/>
              <w:right w:w="80" w:type="dxa"/>
            </w:tcMar>
            <w:textDirection w:val="btLr"/>
          </w:tcPr>
          <w:p w:rsidR="0085278F" w:rsidRPr="0089607D" w:rsidRDefault="0085278F" w:rsidP="00E64471">
            <w:pPr>
              <w:pStyle w:val="normal0"/>
              <w:spacing w:line="240" w:lineRule="auto"/>
              <w:jc w:val="center"/>
            </w:pPr>
            <w:r>
              <w:t>Résumé</w:t>
            </w:r>
          </w:p>
        </w:tc>
        <w:tc>
          <w:tcPr>
            <w:tcW w:w="8859" w:type="dxa"/>
            <w:tcBorders>
              <w:top w:val="single" w:sz="4" w:space="0" w:color="auto"/>
              <w:left w:val="single" w:sz="4" w:space="0" w:color="auto"/>
              <w:bottom w:val="double" w:sz="12" w:space="0" w:color="auto"/>
              <w:right w:val="double" w:sz="12" w:space="0" w:color="auto"/>
            </w:tcBorders>
            <w:tcMar>
              <w:left w:w="80" w:type="dxa"/>
              <w:right w:w="80" w:type="dxa"/>
            </w:tcMar>
          </w:tcPr>
          <w:p w:rsidR="0085278F" w:rsidRPr="001A6CAA" w:rsidRDefault="0085278F" w:rsidP="00E64471">
            <w:pPr>
              <w:pStyle w:val="normal0"/>
              <w:ind w:left="-59"/>
              <w:jc w:val="both"/>
            </w:pPr>
            <w:r w:rsidRPr="001A6CAA">
              <w:rPr>
                <w:rFonts w:cs="DejaVuSans"/>
                <w:sz w:val="18"/>
                <w:szCs w:val="18"/>
              </w:rPr>
              <w:t>Plusieurs écoles tentent d'innover dans un contexte où le paysage technologique évolue rapidement et les tablettes numériques telles l'</w:t>
            </w:r>
            <w:proofErr w:type="spellStart"/>
            <w:r w:rsidRPr="001A6CAA">
              <w:rPr>
                <w:rFonts w:cs="DejaVuSans"/>
                <w:sz w:val="18"/>
                <w:szCs w:val="18"/>
              </w:rPr>
              <w:t>iPad</w:t>
            </w:r>
            <w:proofErr w:type="spellEnd"/>
            <w:r w:rsidRPr="001A6CAA">
              <w:rPr>
                <w:rFonts w:cs="DejaVuSans"/>
                <w:sz w:val="18"/>
                <w:szCs w:val="18"/>
              </w:rPr>
              <w:t xml:space="preserve"> sont clairement identifiées comme une technologie émergente susceptible d'avoir des retombées importantes en éducation à très court terme (Johnson, Adams, &amp; </w:t>
            </w:r>
            <w:proofErr w:type="spellStart"/>
            <w:r w:rsidRPr="001A6CAA">
              <w:rPr>
                <w:rFonts w:cs="DejaVuSans"/>
                <w:sz w:val="18"/>
                <w:szCs w:val="18"/>
              </w:rPr>
              <w:t>Cummins</w:t>
            </w:r>
            <w:proofErr w:type="spellEnd"/>
            <w:r w:rsidRPr="001A6CAA">
              <w:rPr>
                <w:rFonts w:cs="DejaVuSans"/>
                <w:sz w:val="18"/>
                <w:szCs w:val="18"/>
              </w:rPr>
              <w:t xml:space="preserve">, 2012). Une école secondaire québécoise intègre depuis septembre 2012 des </w:t>
            </w:r>
            <w:proofErr w:type="spellStart"/>
            <w:r w:rsidRPr="001A6CAA">
              <w:rPr>
                <w:rFonts w:cs="DejaVuSans"/>
                <w:sz w:val="18"/>
                <w:szCs w:val="18"/>
              </w:rPr>
              <w:t>iPad</w:t>
            </w:r>
            <w:proofErr w:type="spellEnd"/>
            <w:r w:rsidRPr="001A6CAA">
              <w:rPr>
                <w:rFonts w:cs="DejaVuSans"/>
                <w:sz w:val="18"/>
                <w:szCs w:val="18"/>
              </w:rPr>
              <w:t xml:space="preserve"> dans deux de ses groupes de troisième secondaire. Une équipe de recherche accompagne l'école et suit leur parcours. Cet article présente un premier regard sur les données préliminaires amassées depuis septembre 2012 auprès des enseignants, des élèves et de leurs parents.</w:t>
            </w:r>
          </w:p>
        </w:tc>
      </w:tr>
      <w:tr w:rsidR="0085278F">
        <w:tblPrEx>
          <w:tblCellMar>
            <w:top w:w="0" w:type="dxa"/>
            <w:bottom w:w="0" w:type="dxa"/>
          </w:tblCellMar>
        </w:tblPrEx>
        <w:trPr>
          <w:cantSplit/>
          <w:trHeight w:val="1134"/>
        </w:trPr>
        <w:tc>
          <w:tcPr>
            <w:tcW w:w="787" w:type="dxa"/>
            <w:vMerge w:val="restart"/>
            <w:tcBorders>
              <w:top w:val="double" w:sz="12" w:space="0" w:color="auto"/>
              <w:left w:val="double" w:sz="12" w:space="0" w:color="auto"/>
              <w:right w:val="single" w:sz="4" w:space="0" w:color="auto"/>
            </w:tcBorders>
            <w:tcMar>
              <w:left w:w="80" w:type="dxa"/>
              <w:right w:w="80" w:type="dxa"/>
            </w:tcMar>
            <w:textDirection w:val="btLr"/>
            <w:vAlign w:val="center"/>
          </w:tcPr>
          <w:p w:rsidR="0085278F" w:rsidRDefault="0085278F" w:rsidP="00E64471">
            <w:pPr>
              <w:pStyle w:val="normal0"/>
              <w:spacing w:line="240" w:lineRule="auto"/>
              <w:jc w:val="center"/>
            </w:pPr>
            <w:r>
              <w:t>12h00 – 12h30</w:t>
            </w:r>
          </w:p>
          <w:p w:rsidR="0085278F" w:rsidRDefault="0085278F" w:rsidP="00E64471">
            <w:pPr>
              <w:pStyle w:val="normal0"/>
              <w:spacing w:line="240" w:lineRule="auto"/>
              <w:jc w:val="center"/>
            </w:pPr>
            <w:r>
              <w:t>et 14h00 - 14h30</w:t>
            </w:r>
          </w:p>
        </w:tc>
        <w:tc>
          <w:tcPr>
            <w:tcW w:w="787" w:type="dxa"/>
            <w:tcBorders>
              <w:top w:val="double" w:sz="12" w:space="0" w:color="auto"/>
              <w:left w:val="single" w:sz="4" w:space="0" w:color="auto"/>
              <w:bottom w:val="single" w:sz="4" w:space="0" w:color="auto"/>
              <w:right w:val="single" w:sz="4" w:space="0" w:color="auto"/>
            </w:tcBorders>
            <w:tcMar>
              <w:left w:w="80" w:type="dxa"/>
              <w:right w:w="80" w:type="dxa"/>
            </w:tcMar>
            <w:textDirection w:val="btLr"/>
          </w:tcPr>
          <w:p w:rsidR="0085278F" w:rsidRDefault="0085278F" w:rsidP="00E64471">
            <w:pPr>
              <w:pStyle w:val="normal0"/>
              <w:spacing w:line="240" w:lineRule="auto"/>
              <w:jc w:val="center"/>
            </w:pPr>
            <w:r>
              <w:t>Titre et auteurs</w:t>
            </w:r>
          </w:p>
        </w:tc>
        <w:tc>
          <w:tcPr>
            <w:tcW w:w="8859" w:type="dxa"/>
            <w:tcBorders>
              <w:top w:val="double" w:sz="12" w:space="0" w:color="auto"/>
              <w:left w:val="single" w:sz="4" w:space="0" w:color="auto"/>
              <w:bottom w:val="single" w:sz="4" w:space="0" w:color="auto"/>
              <w:right w:val="double" w:sz="12" w:space="0" w:color="auto"/>
            </w:tcBorders>
            <w:tcMar>
              <w:left w:w="80" w:type="dxa"/>
              <w:right w:w="80" w:type="dxa"/>
            </w:tcMar>
          </w:tcPr>
          <w:p w:rsidR="0085278F" w:rsidRDefault="0085278F" w:rsidP="00E64471">
            <w:pPr>
              <w:pStyle w:val="normal0"/>
              <w:ind w:left="-59"/>
              <w:jc w:val="both"/>
            </w:pPr>
            <w:r>
              <w:t>Réception par les acteurs de l’éducation des politiques publiques numériques</w:t>
            </w:r>
          </w:p>
          <w:p w:rsidR="0085278F" w:rsidRDefault="0085278F" w:rsidP="00E64471">
            <w:pPr>
              <w:pStyle w:val="normal0"/>
              <w:ind w:left="-59"/>
              <w:jc w:val="both"/>
            </w:pPr>
          </w:p>
          <w:p w:rsidR="0085278F" w:rsidRPr="0089607D" w:rsidRDefault="0085278F" w:rsidP="001A6CAA">
            <w:pPr>
              <w:pStyle w:val="normal0"/>
              <w:spacing w:line="240" w:lineRule="auto"/>
              <w:ind w:left="-59"/>
              <w:jc w:val="right"/>
              <w:rPr>
                <w:b/>
                <w:i/>
              </w:rPr>
            </w:pPr>
            <w:r w:rsidRPr="0089607D">
              <w:rPr>
                <w:b/>
                <w:i/>
              </w:rPr>
              <w:t xml:space="preserve">François </w:t>
            </w:r>
            <w:proofErr w:type="spellStart"/>
            <w:r w:rsidRPr="0089607D">
              <w:rPr>
                <w:b/>
                <w:i/>
              </w:rPr>
              <w:t>Burban</w:t>
            </w:r>
            <w:proofErr w:type="spellEnd"/>
            <w:r w:rsidRPr="0089607D">
              <w:rPr>
                <w:b/>
                <w:i/>
              </w:rPr>
              <w:t xml:space="preserve">, Xavière </w:t>
            </w:r>
            <w:proofErr w:type="spellStart"/>
            <w:r w:rsidRPr="0089607D">
              <w:rPr>
                <w:b/>
                <w:i/>
              </w:rPr>
              <w:t>Lanéelle</w:t>
            </w:r>
            <w:proofErr w:type="spellEnd"/>
          </w:p>
          <w:p w:rsidR="0085278F" w:rsidRPr="0089607D" w:rsidRDefault="0085278F" w:rsidP="001A6CAA">
            <w:pPr>
              <w:pStyle w:val="normal0"/>
              <w:spacing w:line="240" w:lineRule="auto"/>
              <w:ind w:left="-59"/>
              <w:jc w:val="right"/>
              <w:rPr>
                <w:b/>
                <w:i/>
              </w:rPr>
            </w:pPr>
            <w:r w:rsidRPr="0089607D">
              <w:rPr>
                <w:b/>
                <w:i/>
              </w:rPr>
              <w:t>CREN (Centre de Recherche en Éducation de Nantes)</w:t>
            </w:r>
          </w:p>
          <w:p w:rsidR="0085278F" w:rsidRDefault="0085278F" w:rsidP="001A6CAA">
            <w:pPr>
              <w:pStyle w:val="normal0"/>
              <w:spacing w:line="240" w:lineRule="auto"/>
              <w:ind w:left="-59"/>
              <w:jc w:val="right"/>
            </w:pPr>
            <w:r w:rsidRPr="0089607D">
              <w:rPr>
                <w:b/>
                <w:i/>
              </w:rPr>
              <w:t>UNAM (Université Nantes, Angers, Le Mans)</w:t>
            </w:r>
          </w:p>
        </w:tc>
      </w:tr>
      <w:tr w:rsidR="0085278F">
        <w:tblPrEx>
          <w:tblCellMar>
            <w:top w:w="0" w:type="dxa"/>
            <w:bottom w:w="0" w:type="dxa"/>
          </w:tblCellMar>
        </w:tblPrEx>
        <w:trPr>
          <w:cantSplit/>
          <w:trHeight w:val="1134"/>
        </w:trPr>
        <w:tc>
          <w:tcPr>
            <w:tcW w:w="787" w:type="dxa"/>
            <w:vMerge/>
            <w:tcBorders>
              <w:left w:val="double" w:sz="12" w:space="0" w:color="auto"/>
              <w:bottom w:val="double" w:sz="12" w:space="0" w:color="auto"/>
              <w:right w:val="single" w:sz="4" w:space="0" w:color="auto"/>
            </w:tcBorders>
            <w:tcMar>
              <w:left w:w="80" w:type="dxa"/>
              <w:right w:w="80" w:type="dxa"/>
            </w:tcMar>
            <w:textDirection w:val="btLr"/>
            <w:vAlign w:val="center"/>
          </w:tcPr>
          <w:p w:rsidR="0085278F" w:rsidRDefault="0085278F" w:rsidP="00E64471">
            <w:pPr>
              <w:pStyle w:val="normal0"/>
              <w:spacing w:line="240" w:lineRule="auto"/>
              <w:jc w:val="center"/>
            </w:pPr>
          </w:p>
        </w:tc>
        <w:tc>
          <w:tcPr>
            <w:tcW w:w="787" w:type="dxa"/>
            <w:tcBorders>
              <w:top w:val="single" w:sz="4" w:space="0" w:color="auto"/>
              <w:left w:val="single" w:sz="4" w:space="0" w:color="auto"/>
              <w:bottom w:val="double" w:sz="12" w:space="0" w:color="auto"/>
              <w:right w:val="single" w:sz="4" w:space="0" w:color="auto"/>
            </w:tcBorders>
            <w:tcMar>
              <w:left w:w="80" w:type="dxa"/>
              <w:right w:w="80" w:type="dxa"/>
            </w:tcMar>
            <w:textDirection w:val="btLr"/>
          </w:tcPr>
          <w:p w:rsidR="0085278F" w:rsidRPr="0089607D" w:rsidRDefault="0085278F" w:rsidP="00E64471">
            <w:pPr>
              <w:pStyle w:val="normal0"/>
              <w:spacing w:line="240" w:lineRule="auto"/>
              <w:jc w:val="center"/>
            </w:pPr>
            <w:r>
              <w:t>Résumé</w:t>
            </w:r>
          </w:p>
        </w:tc>
        <w:tc>
          <w:tcPr>
            <w:tcW w:w="8859" w:type="dxa"/>
            <w:tcBorders>
              <w:top w:val="single" w:sz="4" w:space="0" w:color="auto"/>
              <w:left w:val="single" w:sz="4" w:space="0" w:color="auto"/>
              <w:bottom w:val="double" w:sz="12" w:space="0" w:color="auto"/>
              <w:right w:val="double" w:sz="12" w:space="0" w:color="auto"/>
            </w:tcBorders>
            <w:tcMar>
              <w:left w:w="80" w:type="dxa"/>
              <w:right w:w="80" w:type="dxa"/>
            </w:tcMar>
          </w:tcPr>
          <w:p w:rsidR="0085278F" w:rsidRPr="001A6CAA" w:rsidRDefault="0085278F" w:rsidP="001A6CAA">
            <w:pPr>
              <w:pStyle w:val="normal0"/>
              <w:ind w:left="-59"/>
              <w:jc w:val="both"/>
            </w:pPr>
            <w:r w:rsidRPr="001A6CAA">
              <w:rPr>
                <w:rFonts w:cs="Times-Roman"/>
                <w:sz w:val="18"/>
                <w:szCs w:val="18"/>
              </w:rPr>
              <w:t xml:space="preserve">Dans le but de promouvoir le numérique, pour former les citoyens de demain et améliorer l’efficacité du système, le Ministère de l’Éducation Nationale ainsi que les Régions tentent de favoriser sa diffusion. Un de leurs outils, outre la dotation en équipement, est la mise en place sur l’ensemble du territoire national d’environnements numériques de travail (ENT). Les ENT ont vocation à permettre des pratiques pédagogiques nouvelles, à rendre plus efficace la gestion administrative des établissements et à les ouvrir aux parents et élèves, rendant par-là plus transparente l’organisation scolaire. Au niveau local, les membres des équipes de direction et les enseignants accueillent l’ENT de manière contrastée. Les chefs d’établissement, qui ne souhaitent pas heurter leurs équipes, œuvrent au déploiement du dispositif dans un ordre négocié. En conséquence, une partie des acteurs se satisfait des bénéfices apportés par l’outil. Néanmoins, une autre partie contourne l’ENT et/ou le critique. Cette réticence à l'usage est consolidée par une crainte diffuse du contrôle de l'activité des enseignants, renouvelant ainsi </w:t>
            </w:r>
            <w:proofErr w:type="gramStart"/>
            <w:r w:rsidRPr="001A6CAA">
              <w:rPr>
                <w:rFonts w:cs="Times-Roman"/>
                <w:sz w:val="18"/>
                <w:szCs w:val="18"/>
              </w:rPr>
              <w:t>la critique portée à l'encontre des récentes politiques publiques</w:t>
            </w:r>
            <w:proofErr w:type="gramEnd"/>
            <w:r w:rsidRPr="001A6CAA">
              <w:rPr>
                <w:rFonts w:cs="Times-Roman"/>
                <w:sz w:val="18"/>
                <w:szCs w:val="18"/>
              </w:rPr>
              <w:t xml:space="preserve"> en éducation, qui seraient fondées sur une logique managériale.</w:t>
            </w:r>
          </w:p>
        </w:tc>
      </w:tr>
      <w:tr w:rsidR="0085278F">
        <w:tblPrEx>
          <w:tblCellMar>
            <w:top w:w="0" w:type="dxa"/>
            <w:bottom w:w="0" w:type="dxa"/>
          </w:tblCellMar>
        </w:tblPrEx>
        <w:trPr>
          <w:cantSplit/>
          <w:trHeight w:val="1134"/>
        </w:trPr>
        <w:tc>
          <w:tcPr>
            <w:tcW w:w="787" w:type="dxa"/>
            <w:vMerge w:val="restart"/>
            <w:tcBorders>
              <w:top w:val="double" w:sz="12" w:space="0" w:color="auto"/>
              <w:left w:val="double" w:sz="12" w:space="0" w:color="auto"/>
              <w:right w:val="single" w:sz="4" w:space="0" w:color="auto"/>
            </w:tcBorders>
            <w:tcMar>
              <w:left w:w="80" w:type="dxa"/>
              <w:right w:w="80" w:type="dxa"/>
            </w:tcMar>
            <w:textDirection w:val="btLr"/>
            <w:vAlign w:val="center"/>
          </w:tcPr>
          <w:p w:rsidR="0085278F" w:rsidRDefault="0085278F" w:rsidP="00E64471">
            <w:pPr>
              <w:pStyle w:val="normal0"/>
              <w:spacing w:line="240" w:lineRule="auto"/>
              <w:jc w:val="center"/>
            </w:pPr>
            <w:r>
              <w:t>14h30 - 15h30</w:t>
            </w:r>
          </w:p>
        </w:tc>
        <w:tc>
          <w:tcPr>
            <w:tcW w:w="787" w:type="dxa"/>
            <w:tcBorders>
              <w:top w:val="double" w:sz="12" w:space="0" w:color="auto"/>
              <w:left w:val="single" w:sz="4" w:space="0" w:color="auto"/>
              <w:bottom w:val="single" w:sz="4" w:space="0" w:color="auto"/>
              <w:right w:val="single" w:sz="4" w:space="0" w:color="auto"/>
            </w:tcBorders>
            <w:tcMar>
              <w:left w:w="80" w:type="dxa"/>
              <w:right w:w="80" w:type="dxa"/>
            </w:tcMar>
            <w:textDirection w:val="btLr"/>
          </w:tcPr>
          <w:p w:rsidR="0085278F" w:rsidRDefault="0085278F" w:rsidP="00E64471">
            <w:pPr>
              <w:pStyle w:val="normal0"/>
              <w:spacing w:line="240" w:lineRule="auto"/>
              <w:jc w:val="center"/>
            </w:pPr>
            <w:r>
              <w:t>Titre et auteurs</w:t>
            </w:r>
          </w:p>
        </w:tc>
        <w:tc>
          <w:tcPr>
            <w:tcW w:w="8859" w:type="dxa"/>
            <w:tcBorders>
              <w:top w:val="double" w:sz="12" w:space="0" w:color="auto"/>
              <w:left w:val="single" w:sz="4" w:space="0" w:color="auto"/>
              <w:bottom w:val="single" w:sz="4" w:space="0" w:color="auto"/>
              <w:right w:val="double" w:sz="12" w:space="0" w:color="auto"/>
            </w:tcBorders>
            <w:tcMar>
              <w:left w:w="80" w:type="dxa"/>
              <w:right w:w="80" w:type="dxa"/>
            </w:tcMar>
          </w:tcPr>
          <w:p w:rsidR="0085278F" w:rsidRPr="001A6CAA" w:rsidRDefault="0085278F" w:rsidP="00E64471">
            <w:pPr>
              <w:pStyle w:val="normal0"/>
              <w:ind w:left="-59"/>
              <w:jc w:val="both"/>
              <w:rPr>
                <w:b/>
              </w:rPr>
            </w:pPr>
            <w:r w:rsidRPr="001A6CAA">
              <w:rPr>
                <w:b/>
              </w:rPr>
              <w:t>Vers une écriture collective transformative au primaire : interventions enseignantes et design technologique</w:t>
            </w:r>
          </w:p>
          <w:p w:rsidR="0085278F" w:rsidRDefault="0085278F" w:rsidP="00E64471">
            <w:pPr>
              <w:pStyle w:val="normal0"/>
              <w:ind w:left="-59"/>
              <w:jc w:val="both"/>
            </w:pPr>
          </w:p>
          <w:p w:rsidR="0085278F" w:rsidRPr="001A6CAA" w:rsidRDefault="0085278F" w:rsidP="001A6CAA">
            <w:pPr>
              <w:pStyle w:val="AuteurInstitutions"/>
              <w:spacing w:before="0" w:line="240" w:lineRule="auto"/>
              <w:jc w:val="right"/>
              <w:rPr>
                <w:rFonts w:ascii="Arial" w:hAnsi="Arial"/>
                <w:i/>
                <w:sz w:val="22"/>
                <w:lang w:val="fr-FR"/>
              </w:rPr>
            </w:pPr>
            <w:r w:rsidRPr="001A6CAA">
              <w:rPr>
                <w:rFonts w:ascii="Arial" w:hAnsi="Arial"/>
                <w:i/>
                <w:sz w:val="22"/>
              </w:rPr>
              <w:t>Stéphane ALLAIRE, Pascale THÉRIAULT et Vincent GAGNON (UNIVERSITÉ DU QUÉBEC À CHICOUTIMI, Saguenay)</w:t>
            </w:r>
          </w:p>
          <w:p w:rsidR="0085278F" w:rsidRPr="001A6CAA" w:rsidRDefault="0085278F" w:rsidP="001A6CAA">
            <w:pPr>
              <w:pStyle w:val="AuteurInstitutions"/>
              <w:spacing w:before="0" w:line="240" w:lineRule="auto"/>
              <w:jc w:val="right"/>
              <w:rPr>
                <w:rFonts w:ascii="Arial" w:hAnsi="Arial"/>
                <w:i/>
                <w:sz w:val="22"/>
                <w:lang w:val="fr-FR"/>
              </w:rPr>
            </w:pPr>
            <w:r w:rsidRPr="001A6CAA">
              <w:rPr>
                <w:rFonts w:ascii="Arial" w:hAnsi="Arial"/>
                <w:i/>
                <w:sz w:val="22"/>
              </w:rPr>
              <w:t xml:space="preserve">Thérèse LAFERRIÈRE, Christine HAMEL et </w:t>
            </w:r>
            <w:proofErr w:type="spellStart"/>
            <w:r w:rsidRPr="001A6CAA">
              <w:rPr>
                <w:rFonts w:ascii="Arial" w:hAnsi="Arial"/>
                <w:i/>
                <w:sz w:val="22"/>
              </w:rPr>
              <w:t>Pier-Ann</w:t>
            </w:r>
            <w:proofErr w:type="spellEnd"/>
            <w:r w:rsidRPr="001A6CAA">
              <w:rPr>
                <w:rFonts w:ascii="Arial" w:hAnsi="Arial"/>
                <w:i/>
                <w:sz w:val="22"/>
              </w:rPr>
              <w:t xml:space="preserve"> BOUTIN, (UNIVERSITÉ LAVAL, Québec)</w:t>
            </w:r>
          </w:p>
          <w:p w:rsidR="0085278F" w:rsidRDefault="0085278F" w:rsidP="001A6CAA">
            <w:pPr>
              <w:pStyle w:val="AuteurInstitutions"/>
              <w:spacing w:before="0" w:line="240" w:lineRule="auto"/>
              <w:jc w:val="right"/>
            </w:pPr>
            <w:r w:rsidRPr="001A6CAA">
              <w:rPr>
                <w:rFonts w:ascii="Arial" w:hAnsi="Arial"/>
                <w:i/>
                <w:sz w:val="22"/>
              </w:rPr>
              <w:t>Godelieve DEBEURME, (UNIVERSITÉ DE SHERBROOKE, Sherbrooke</w:t>
            </w:r>
            <w:r w:rsidRPr="001A6CAA">
              <w:rPr>
                <w:rFonts w:ascii="Arial" w:hAnsi="Arial"/>
                <w:b/>
                <w:i/>
                <w:sz w:val="22"/>
              </w:rPr>
              <w:t>)</w:t>
            </w:r>
            <w:r>
              <w:t xml:space="preserve"> </w:t>
            </w:r>
          </w:p>
        </w:tc>
      </w:tr>
      <w:tr w:rsidR="0085278F">
        <w:tblPrEx>
          <w:tblCellMar>
            <w:top w:w="0" w:type="dxa"/>
            <w:bottom w:w="0" w:type="dxa"/>
          </w:tblCellMar>
        </w:tblPrEx>
        <w:trPr>
          <w:cantSplit/>
          <w:trHeight w:val="1134"/>
        </w:trPr>
        <w:tc>
          <w:tcPr>
            <w:tcW w:w="787" w:type="dxa"/>
            <w:vMerge/>
            <w:tcBorders>
              <w:left w:val="double" w:sz="12" w:space="0" w:color="auto"/>
              <w:bottom w:val="double" w:sz="12" w:space="0" w:color="auto"/>
              <w:right w:val="single" w:sz="4" w:space="0" w:color="auto"/>
            </w:tcBorders>
            <w:tcMar>
              <w:left w:w="80" w:type="dxa"/>
              <w:right w:w="80" w:type="dxa"/>
            </w:tcMar>
            <w:textDirection w:val="btLr"/>
            <w:vAlign w:val="center"/>
          </w:tcPr>
          <w:p w:rsidR="0085278F" w:rsidRDefault="0085278F" w:rsidP="00E64471">
            <w:pPr>
              <w:pStyle w:val="normal0"/>
              <w:spacing w:line="240" w:lineRule="auto"/>
              <w:jc w:val="center"/>
            </w:pPr>
          </w:p>
        </w:tc>
        <w:tc>
          <w:tcPr>
            <w:tcW w:w="787" w:type="dxa"/>
            <w:tcBorders>
              <w:top w:val="single" w:sz="4" w:space="0" w:color="auto"/>
              <w:left w:val="single" w:sz="4" w:space="0" w:color="auto"/>
              <w:bottom w:val="double" w:sz="12" w:space="0" w:color="auto"/>
              <w:right w:val="single" w:sz="4" w:space="0" w:color="auto"/>
            </w:tcBorders>
            <w:tcMar>
              <w:left w:w="80" w:type="dxa"/>
              <w:right w:w="80" w:type="dxa"/>
            </w:tcMar>
            <w:textDirection w:val="btLr"/>
          </w:tcPr>
          <w:p w:rsidR="0085278F" w:rsidRPr="0089607D" w:rsidRDefault="0085278F" w:rsidP="00E64471">
            <w:pPr>
              <w:pStyle w:val="normal0"/>
              <w:spacing w:line="240" w:lineRule="auto"/>
              <w:jc w:val="center"/>
            </w:pPr>
            <w:r>
              <w:t>Résumé</w:t>
            </w:r>
          </w:p>
        </w:tc>
        <w:tc>
          <w:tcPr>
            <w:tcW w:w="8859" w:type="dxa"/>
            <w:tcBorders>
              <w:top w:val="single" w:sz="4" w:space="0" w:color="auto"/>
              <w:left w:val="single" w:sz="4" w:space="0" w:color="auto"/>
              <w:bottom w:val="double" w:sz="12" w:space="0" w:color="auto"/>
              <w:right w:val="double" w:sz="12" w:space="0" w:color="auto"/>
            </w:tcBorders>
            <w:tcMar>
              <w:left w:w="80" w:type="dxa"/>
              <w:right w:w="80" w:type="dxa"/>
            </w:tcMar>
          </w:tcPr>
          <w:p w:rsidR="0085278F" w:rsidRPr="001A6CAA" w:rsidRDefault="0085278F" w:rsidP="00E64471">
            <w:pPr>
              <w:pStyle w:val="normal0"/>
              <w:ind w:left="-59"/>
              <w:jc w:val="both"/>
              <w:rPr>
                <w:sz w:val="18"/>
              </w:rPr>
            </w:pPr>
            <w:r w:rsidRPr="001A6CAA">
              <w:rPr>
                <w:sz w:val="18"/>
                <w:szCs w:val="18"/>
              </w:rPr>
              <w:t xml:space="preserve">Ce texte rend compte d’une étude qui a documenté la façon dont les interventions enseignantes et les affordances d’un outil d’écriture collective, le </w:t>
            </w:r>
            <w:proofErr w:type="spellStart"/>
            <w:r w:rsidRPr="001A6CAA">
              <w:rPr>
                <w:i/>
                <w:sz w:val="18"/>
                <w:szCs w:val="18"/>
              </w:rPr>
              <w:t>Kn</w:t>
            </w:r>
            <w:r w:rsidRPr="001A6CAA">
              <w:rPr>
                <w:i/>
                <w:sz w:val="18"/>
                <w:szCs w:val="18"/>
              </w:rPr>
              <w:t>o</w:t>
            </w:r>
            <w:r w:rsidRPr="001A6CAA">
              <w:rPr>
                <w:i/>
                <w:sz w:val="18"/>
                <w:szCs w:val="18"/>
              </w:rPr>
              <w:t>wledge</w:t>
            </w:r>
            <w:proofErr w:type="spellEnd"/>
            <w:r w:rsidRPr="001A6CAA">
              <w:rPr>
                <w:i/>
                <w:sz w:val="18"/>
                <w:szCs w:val="18"/>
              </w:rPr>
              <w:t xml:space="preserve"> Forum</w:t>
            </w:r>
            <w:r w:rsidRPr="001A6CAA">
              <w:rPr>
                <w:sz w:val="18"/>
                <w:szCs w:val="18"/>
              </w:rPr>
              <w:t>, peuvent se compléter pour amener des élèves du primaire à prendre part à une écriture davantage transformative. Le cadre théorique s’appuie entre autres sur les processus et les stratégies d’écriture. La méthode a combiné l’observation d’interventions effectuées en classe, des entrevues ainsi que l’observation des écrits sur le forum électronique. Les résultats mettent en lumière notamment une démarche d’écriture qui amène les élèves à dépasser une énonciation spontanée de leurs connaissances.</w:t>
            </w:r>
          </w:p>
        </w:tc>
      </w:tr>
      <w:tr w:rsidR="0085278F">
        <w:tblPrEx>
          <w:tblCellMar>
            <w:top w:w="0" w:type="dxa"/>
            <w:bottom w:w="0" w:type="dxa"/>
          </w:tblCellMar>
        </w:tblPrEx>
        <w:trPr>
          <w:cantSplit/>
          <w:trHeight w:val="1134"/>
        </w:trPr>
        <w:tc>
          <w:tcPr>
            <w:tcW w:w="787" w:type="dxa"/>
            <w:vMerge w:val="restart"/>
            <w:tcBorders>
              <w:top w:val="double" w:sz="12" w:space="0" w:color="auto"/>
              <w:left w:val="double" w:sz="12" w:space="0" w:color="auto"/>
              <w:right w:val="single" w:sz="4" w:space="0" w:color="auto"/>
            </w:tcBorders>
            <w:tcMar>
              <w:left w:w="80" w:type="dxa"/>
              <w:right w:w="80" w:type="dxa"/>
            </w:tcMar>
            <w:textDirection w:val="btLr"/>
            <w:vAlign w:val="center"/>
          </w:tcPr>
          <w:p w:rsidR="0085278F" w:rsidRDefault="0085278F" w:rsidP="00E64471">
            <w:pPr>
              <w:pStyle w:val="normal0"/>
              <w:spacing w:line="240" w:lineRule="auto"/>
              <w:jc w:val="center"/>
            </w:pPr>
            <w:r>
              <w:t>16h00 - 17h00</w:t>
            </w:r>
          </w:p>
        </w:tc>
        <w:tc>
          <w:tcPr>
            <w:tcW w:w="787" w:type="dxa"/>
            <w:tcBorders>
              <w:top w:val="double" w:sz="12" w:space="0" w:color="auto"/>
              <w:left w:val="single" w:sz="4" w:space="0" w:color="auto"/>
              <w:bottom w:val="single" w:sz="4" w:space="0" w:color="auto"/>
              <w:right w:val="single" w:sz="4" w:space="0" w:color="auto"/>
            </w:tcBorders>
            <w:tcMar>
              <w:left w:w="80" w:type="dxa"/>
              <w:right w:w="80" w:type="dxa"/>
            </w:tcMar>
            <w:textDirection w:val="btLr"/>
          </w:tcPr>
          <w:p w:rsidR="0085278F" w:rsidRDefault="0085278F" w:rsidP="00E64471">
            <w:pPr>
              <w:pStyle w:val="normal0"/>
              <w:spacing w:line="240" w:lineRule="auto"/>
              <w:jc w:val="center"/>
            </w:pPr>
            <w:r>
              <w:t>Titre et auteurs</w:t>
            </w:r>
          </w:p>
        </w:tc>
        <w:tc>
          <w:tcPr>
            <w:tcW w:w="8859" w:type="dxa"/>
            <w:tcBorders>
              <w:top w:val="double" w:sz="12" w:space="0" w:color="auto"/>
              <w:left w:val="single" w:sz="4" w:space="0" w:color="auto"/>
              <w:bottom w:val="single" w:sz="4" w:space="0" w:color="auto"/>
              <w:right w:val="double" w:sz="12" w:space="0" w:color="auto"/>
            </w:tcBorders>
            <w:tcMar>
              <w:left w:w="80" w:type="dxa"/>
              <w:right w:w="80" w:type="dxa"/>
            </w:tcMar>
          </w:tcPr>
          <w:p w:rsidR="0085278F" w:rsidRPr="001A6CAA" w:rsidRDefault="0085278F" w:rsidP="00E64471">
            <w:pPr>
              <w:pStyle w:val="normal0"/>
              <w:ind w:left="-59"/>
              <w:jc w:val="both"/>
              <w:rPr>
                <w:b/>
              </w:rPr>
            </w:pPr>
            <w:r w:rsidRPr="001A6CAA">
              <w:rPr>
                <w:b/>
              </w:rPr>
              <w:t>Dissémination de tablettes tactiles en primaire et réception des enseignants : entre rejet, indifférence et adoption.</w:t>
            </w:r>
          </w:p>
          <w:p w:rsidR="0085278F" w:rsidRDefault="0085278F" w:rsidP="00E64471">
            <w:pPr>
              <w:pStyle w:val="normal0"/>
              <w:ind w:left="-59"/>
              <w:jc w:val="both"/>
            </w:pPr>
          </w:p>
          <w:p w:rsidR="0085278F" w:rsidRPr="0089607D" w:rsidRDefault="0085278F" w:rsidP="00E64471">
            <w:pPr>
              <w:pStyle w:val="normal0"/>
              <w:ind w:left="-59"/>
              <w:jc w:val="right"/>
              <w:rPr>
                <w:b/>
                <w:i/>
              </w:rPr>
            </w:pPr>
            <w:r w:rsidRPr="001A6CAA">
              <w:rPr>
                <w:i/>
              </w:rPr>
              <w:t xml:space="preserve">Séverine Ferrière, Philippe Cottier, Florence Lacroix, Aurélie Lainé, Loïc </w:t>
            </w:r>
            <w:proofErr w:type="spellStart"/>
            <w:r w:rsidRPr="001A6CAA">
              <w:rPr>
                <w:i/>
              </w:rPr>
              <w:t>Pulido</w:t>
            </w:r>
            <w:proofErr w:type="spellEnd"/>
            <w:r w:rsidRPr="001A6CAA">
              <w:rPr>
                <w:i/>
              </w:rPr>
              <w:t>,  (CREN, UNAM, IUFM Nantes</w:t>
            </w:r>
            <w:r w:rsidRPr="0089607D">
              <w:rPr>
                <w:b/>
                <w:i/>
              </w:rPr>
              <w:t>).</w:t>
            </w:r>
          </w:p>
        </w:tc>
      </w:tr>
      <w:tr w:rsidR="0085278F">
        <w:tblPrEx>
          <w:tblCellMar>
            <w:top w:w="0" w:type="dxa"/>
            <w:bottom w:w="0" w:type="dxa"/>
          </w:tblCellMar>
        </w:tblPrEx>
        <w:trPr>
          <w:cantSplit/>
          <w:trHeight w:val="1134"/>
        </w:trPr>
        <w:tc>
          <w:tcPr>
            <w:tcW w:w="787" w:type="dxa"/>
            <w:vMerge/>
            <w:tcBorders>
              <w:left w:val="double" w:sz="12" w:space="0" w:color="auto"/>
              <w:bottom w:val="double" w:sz="12" w:space="0" w:color="auto"/>
              <w:right w:val="single" w:sz="4" w:space="0" w:color="auto"/>
            </w:tcBorders>
            <w:tcMar>
              <w:left w:w="80" w:type="dxa"/>
              <w:right w:w="80" w:type="dxa"/>
            </w:tcMar>
            <w:textDirection w:val="btLr"/>
            <w:vAlign w:val="center"/>
          </w:tcPr>
          <w:p w:rsidR="0085278F" w:rsidRDefault="0085278F" w:rsidP="00E64471">
            <w:pPr>
              <w:pStyle w:val="normal0"/>
              <w:spacing w:line="240" w:lineRule="auto"/>
              <w:jc w:val="center"/>
            </w:pPr>
          </w:p>
        </w:tc>
        <w:tc>
          <w:tcPr>
            <w:tcW w:w="787" w:type="dxa"/>
            <w:tcBorders>
              <w:top w:val="single" w:sz="4" w:space="0" w:color="auto"/>
              <w:left w:val="single" w:sz="4" w:space="0" w:color="auto"/>
              <w:bottom w:val="double" w:sz="12" w:space="0" w:color="auto"/>
              <w:right w:val="single" w:sz="4" w:space="0" w:color="auto"/>
            </w:tcBorders>
            <w:tcMar>
              <w:left w:w="80" w:type="dxa"/>
              <w:right w:w="80" w:type="dxa"/>
            </w:tcMar>
            <w:textDirection w:val="btLr"/>
          </w:tcPr>
          <w:p w:rsidR="0085278F" w:rsidRPr="0089607D" w:rsidRDefault="0085278F" w:rsidP="00E64471">
            <w:pPr>
              <w:pStyle w:val="normal0"/>
              <w:spacing w:line="240" w:lineRule="auto"/>
              <w:jc w:val="center"/>
            </w:pPr>
            <w:r>
              <w:t>Résumé</w:t>
            </w:r>
          </w:p>
        </w:tc>
        <w:tc>
          <w:tcPr>
            <w:tcW w:w="8859" w:type="dxa"/>
            <w:tcBorders>
              <w:top w:val="single" w:sz="4" w:space="0" w:color="auto"/>
              <w:left w:val="single" w:sz="4" w:space="0" w:color="auto"/>
              <w:bottom w:val="double" w:sz="12" w:space="0" w:color="auto"/>
              <w:right w:val="double" w:sz="12" w:space="0" w:color="auto"/>
            </w:tcBorders>
            <w:tcMar>
              <w:left w:w="80" w:type="dxa"/>
              <w:right w:w="80" w:type="dxa"/>
            </w:tcMar>
          </w:tcPr>
          <w:p w:rsidR="0085278F" w:rsidRPr="00900ED6" w:rsidRDefault="0085278F" w:rsidP="00E64471">
            <w:pPr>
              <w:pStyle w:val="normal0"/>
              <w:ind w:left="-59"/>
              <w:jc w:val="both"/>
              <w:rPr>
                <w:sz w:val="18"/>
              </w:rPr>
            </w:pPr>
            <w:r w:rsidRPr="00900ED6">
              <w:rPr>
                <w:sz w:val="18"/>
                <w:szCs w:val="18"/>
              </w:rPr>
              <w:t>Les opérations de dissémination massive de terminaux numériques dans des établissements scolaires ont fait l</w:t>
            </w:r>
            <w:r w:rsidRPr="00900ED6">
              <w:rPr>
                <w:rFonts w:hint="eastAsia"/>
                <w:sz w:val="18"/>
                <w:szCs w:val="18"/>
              </w:rPr>
              <w:t>’</w:t>
            </w:r>
            <w:r w:rsidRPr="00900ED6">
              <w:rPr>
                <w:sz w:val="18"/>
                <w:szCs w:val="18"/>
              </w:rPr>
              <w:t xml:space="preserve">objet de nombreux travaux qui en montrent les limites. </w:t>
            </w:r>
            <w:r w:rsidRPr="00900ED6">
              <w:rPr>
                <w:sz w:val="18"/>
              </w:rPr>
              <w:t>Nous analysons ici le discours de 18 enseignants sur la réception d</w:t>
            </w:r>
            <w:r w:rsidRPr="00900ED6">
              <w:rPr>
                <w:rFonts w:hint="eastAsia"/>
                <w:sz w:val="18"/>
              </w:rPr>
              <w:t>’</w:t>
            </w:r>
            <w:r w:rsidRPr="00900ED6">
              <w:rPr>
                <w:sz w:val="18"/>
              </w:rPr>
              <w:t xml:space="preserve">un programme de déploiement de 1000 </w:t>
            </w:r>
            <w:proofErr w:type="spellStart"/>
            <w:r w:rsidRPr="00900ED6">
              <w:rPr>
                <w:sz w:val="18"/>
              </w:rPr>
              <w:t>IPad</w:t>
            </w:r>
            <w:proofErr w:type="spellEnd"/>
            <w:r w:rsidRPr="00900ED6">
              <w:rPr>
                <w:sz w:val="18"/>
              </w:rPr>
              <w:t xml:space="preserve"> dans des écoles primaires d</w:t>
            </w:r>
            <w:r w:rsidRPr="00900ED6">
              <w:rPr>
                <w:rFonts w:hint="eastAsia"/>
                <w:sz w:val="18"/>
              </w:rPr>
              <w:t>’</w:t>
            </w:r>
            <w:r w:rsidRPr="00900ED6">
              <w:rPr>
                <w:sz w:val="18"/>
              </w:rPr>
              <w:t>une grande ville française, sur leurs pratiques et sur leurs stratégies. Trois familles de discours émergent significativement</w:t>
            </w:r>
            <w:r w:rsidRPr="00900ED6">
              <w:rPr>
                <w:rFonts w:hint="eastAsia"/>
                <w:sz w:val="18"/>
              </w:rPr>
              <w:t> </w:t>
            </w:r>
            <w:r w:rsidRPr="00900ED6">
              <w:rPr>
                <w:sz w:val="18"/>
              </w:rPr>
              <w:t>: rejet, indifférence et adoption. Les analyses conduisent à porter une attention spécifique aux mécanismes mis en jeu chez les enseignants qui déclarent utiliser les tablettes disponibles en classe.</w:t>
            </w:r>
          </w:p>
        </w:tc>
      </w:tr>
      <w:tr w:rsidR="0085278F">
        <w:tblPrEx>
          <w:tblCellMar>
            <w:top w:w="0" w:type="dxa"/>
            <w:bottom w:w="0" w:type="dxa"/>
          </w:tblCellMar>
        </w:tblPrEx>
        <w:trPr>
          <w:cantSplit/>
          <w:trHeight w:val="1134"/>
        </w:trPr>
        <w:tc>
          <w:tcPr>
            <w:tcW w:w="787" w:type="dxa"/>
            <w:vMerge w:val="restart"/>
            <w:tcBorders>
              <w:top w:val="double" w:sz="12" w:space="0" w:color="auto"/>
              <w:left w:val="double" w:sz="12" w:space="0" w:color="auto"/>
              <w:right w:val="single" w:sz="4" w:space="0" w:color="auto"/>
            </w:tcBorders>
            <w:tcMar>
              <w:left w:w="80" w:type="dxa"/>
              <w:right w:w="80" w:type="dxa"/>
            </w:tcMar>
            <w:textDirection w:val="btLr"/>
            <w:vAlign w:val="center"/>
          </w:tcPr>
          <w:p w:rsidR="0085278F" w:rsidRDefault="0085278F" w:rsidP="00E64471">
            <w:pPr>
              <w:pStyle w:val="normal0"/>
              <w:spacing w:line="240" w:lineRule="auto"/>
              <w:jc w:val="center"/>
            </w:pPr>
            <w:r>
              <w:t>17h00 - 18h00</w:t>
            </w:r>
          </w:p>
        </w:tc>
        <w:tc>
          <w:tcPr>
            <w:tcW w:w="787" w:type="dxa"/>
            <w:tcBorders>
              <w:top w:val="double" w:sz="12" w:space="0" w:color="auto"/>
              <w:left w:val="single" w:sz="4" w:space="0" w:color="auto"/>
              <w:bottom w:val="single" w:sz="4" w:space="0" w:color="auto"/>
              <w:right w:val="single" w:sz="4" w:space="0" w:color="auto"/>
            </w:tcBorders>
            <w:tcMar>
              <w:left w:w="80" w:type="dxa"/>
              <w:right w:w="80" w:type="dxa"/>
            </w:tcMar>
            <w:textDirection w:val="btLr"/>
          </w:tcPr>
          <w:p w:rsidR="0085278F" w:rsidRDefault="0085278F" w:rsidP="00E64471">
            <w:pPr>
              <w:pStyle w:val="normal0"/>
              <w:spacing w:line="240" w:lineRule="auto"/>
              <w:jc w:val="center"/>
            </w:pPr>
            <w:r>
              <w:t>Titre et auteurs</w:t>
            </w:r>
          </w:p>
        </w:tc>
        <w:tc>
          <w:tcPr>
            <w:tcW w:w="8859" w:type="dxa"/>
            <w:tcBorders>
              <w:top w:val="double" w:sz="12" w:space="0" w:color="auto"/>
              <w:left w:val="single" w:sz="4" w:space="0" w:color="auto"/>
              <w:bottom w:val="single" w:sz="4" w:space="0" w:color="auto"/>
              <w:right w:val="double" w:sz="12" w:space="0" w:color="auto"/>
            </w:tcBorders>
            <w:tcMar>
              <w:left w:w="80" w:type="dxa"/>
              <w:right w:w="80" w:type="dxa"/>
            </w:tcMar>
          </w:tcPr>
          <w:p w:rsidR="0085278F" w:rsidRDefault="0085278F" w:rsidP="00E64471">
            <w:pPr>
              <w:pStyle w:val="normal0"/>
              <w:ind w:left="-59"/>
              <w:jc w:val="both"/>
            </w:pPr>
            <w:r>
              <w:t>Les usages numériques des lycéens affectent-ils leur temps de travail ?</w:t>
            </w:r>
          </w:p>
          <w:p w:rsidR="0085278F" w:rsidRDefault="0085278F" w:rsidP="00E64471">
            <w:pPr>
              <w:pStyle w:val="normal0"/>
              <w:ind w:left="-59"/>
              <w:jc w:val="both"/>
            </w:pPr>
          </w:p>
          <w:p w:rsidR="0085278F" w:rsidRPr="0089607D" w:rsidRDefault="0085278F" w:rsidP="00E64471">
            <w:pPr>
              <w:pStyle w:val="normal0"/>
              <w:ind w:left="-59"/>
              <w:jc w:val="right"/>
              <w:rPr>
                <w:b/>
                <w:i/>
              </w:rPr>
            </w:pPr>
            <w:r w:rsidRPr="0089607D">
              <w:rPr>
                <w:b/>
                <w:i/>
              </w:rPr>
              <w:t xml:space="preserve">François </w:t>
            </w:r>
            <w:proofErr w:type="spellStart"/>
            <w:r w:rsidRPr="0089607D">
              <w:rPr>
                <w:b/>
                <w:i/>
              </w:rPr>
              <w:t>Burban</w:t>
            </w:r>
            <w:proofErr w:type="spellEnd"/>
            <w:r w:rsidRPr="0089607D">
              <w:rPr>
                <w:b/>
                <w:i/>
              </w:rPr>
              <w:t>, Philippe Cottier</w:t>
            </w:r>
            <w:r>
              <w:t xml:space="preserve">, </w:t>
            </w:r>
            <w:r w:rsidRPr="0089607D">
              <w:rPr>
                <w:b/>
                <w:i/>
              </w:rPr>
              <w:t xml:space="preserve">Christophe </w:t>
            </w:r>
            <w:proofErr w:type="spellStart"/>
            <w:r w:rsidRPr="0089607D">
              <w:rPr>
                <w:b/>
                <w:i/>
              </w:rPr>
              <w:t>Michaut</w:t>
            </w:r>
            <w:proofErr w:type="spellEnd"/>
          </w:p>
          <w:p w:rsidR="0085278F" w:rsidRPr="0089607D" w:rsidRDefault="0085278F" w:rsidP="00E64471">
            <w:pPr>
              <w:pStyle w:val="normal0"/>
              <w:ind w:left="-59"/>
              <w:jc w:val="right"/>
              <w:rPr>
                <w:b/>
                <w:i/>
              </w:rPr>
            </w:pPr>
            <w:r w:rsidRPr="0089607D">
              <w:rPr>
                <w:b/>
                <w:i/>
              </w:rPr>
              <w:t>CREN (Centre de Recherche en Éducation de Nantes)</w:t>
            </w:r>
          </w:p>
          <w:p w:rsidR="0085278F" w:rsidRPr="0089607D" w:rsidRDefault="0085278F" w:rsidP="00E64471">
            <w:pPr>
              <w:pStyle w:val="normal0"/>
              <w:ind w:left="-59"/>
              <w:jc w:val="right"/>
              <w:rPr>
                <w:b/>
                <w:i/>
              </w:rPr>
            </w:pPr>
            <w:r w:rsidRPr="0089607D">
              <w:rPr>
                <w:b/>
                <w:i/>
              </w:rPr>
              <w:t>UNAM (Université Nantes, Angers, Le</w:t>
            </w:r>
          </w:p>
          <w:p w:rsidR="0085278F" w:rsidRDefault="0085278F" w:rsidP="00E64471">
            <w:pPr>
              <w:pStyle w:val="normal0"/>
              <w:ind w:left="-59"/>
              <w:jc w:val="right"/>
            </w:pPr>
            <w:r w:rsidRPr="0089607D">
              <w:rPr>
                <w:b/>
                <w:i/>
              </w:rPr>
              <w:t xml:space="preserve"> Mans)</w:t>
            </w:r>
          </w:p>
        </w:tc>
      </w:tr>
      <w:tr w:rsidR="0085278F">
        <w:tblPrEx>
          <w:tblCellMar>
            <w:top w:w="0" w:type="dxa"/>
            <w:bottom w:w="0" w:type="dxa"/>
          </w:tblCellMar>
        </w:tblPrEx>
        <w:trPr>
          <w:cantSplit/>
          <w:trHeight w:val="1134"/>
        </w:trPr>
        <w:tc>
          <w:tcPr>
            <w:tcW w:w="787" w:type="dxa"/>
            <w:vMerge/>
            <w:tcBorders>
              <w:left w:val="double" w:sz="12" w:space="0" w:color="auto"/>
              <w:bottom w:val="double" w:sz="12" w:space="0" w:color="auto"/>
              <w:right w:val="single" w:sz="4" w:space="0" w:color="auto"/>
            </w:tcBorders>
            <w:tcMar>
              <w:left w:w="80" w:type="dxa"/>
              <w:right w:w="80" w:type="dxa"/>
            </w:tcMar>
            <w:textDirection w:val="btLr"/>
            <w:vAlign w:val="center"/>
          </w:tcPr>
          <w:p w:rsidR="0085278F" w:rsidRDefault="0085278F" w:rsidP="00E64471">
            <w:pPr>
              <w:pStyle w:val="normal0"/>
              <w:spacing w:line="240" w:lineRule="auto"/>
              <w:jc w:val="center"/>
            </w:pPr>
          </w:p>
        </w:tc>
        <w:tc>
          <w:tcPr>
            <w:tcW w:w="787" w:type="dxa"/>
            <w:tcBorders>
              <w:top w:val="single" w:sz="4" w:space="0" w:color="auto"/>
              <w:left w:val="single" w:sz="4" w:space="0" w:color="auto"/>
              <w:bottom w:val="double" w:sz="12" w:space="0" w:color="auto"/>
              <w:right w:val="single" w:sz="4" w:space="0" w:color="auto"/>
            </w:tcBorders>
            <w:tcMar>
              <w:left w:w="80" w:type="dxa"/>
              <w:right w:w="80" w:type="dxa"/>
            </w:tcMar>
            <w:textDirection w:val="btLr"/>
          </w:tcPr>
          <w:p w:rsidR="0085278F" w:rsidRPr="0089607D" w:rsidRDefault="0085278F" w:rsidP="00E64471">
            <w:pPr>
              <w:pStyle w:val="normal0"/>
              <w:spacing w:line="240" w:lineRule="auto"/>
              <w:jc w:val="center"/>
            </w:pPr>
            <w:r>
              <w:t>Résumé</w:t>
            </w:r>
          </w:p>
        </w:tc>
        <w:tc>
          <w:tcPr>
            <w:tcW w:w="8859" w:type="dxa"/>
            <w:tcBorders>
              <w:top w:val="single" w:sz="4" w:space="0" w:color="auto"/>
              <w:left w:val="single" w:sz="4" w:space="0" w:color="auto"/>
              <w:bottom w:val="double" w:sz="12" w:space="0" w:color="auto"/>
              <w:right w:val="double" w:sz="12" w:space="0" w:color="auto"/>
            </w:tcBorders>
            <w:tcMar>
              <w:left w:w="80" w:type="dxa"/>
              <w:right w:w="80" w:type="dxa"/>
            </w:tcMar>
          </w:tcPr>
          <w:p w:rsidR="0085278F" w:rsidRPr="00900ED6" w:rsidRDefault="0085278F" w:rsidP="00E64471">
            <w:pPr>
              <w:pStyle w:val="normal0"/>
              <w:ind w:left="-59"/>
              <w:jc w:val="both"/>
              <w:rPr>
                <w:sz w:val="18"/>
              </w:rPr>
            </w:pPr>
            <w:r w:rsidRPr="00900ED6">
              <w:rPr>
                <w:sz w:val="18"/>
                <w:szCs w:val="18"/>
              </w:rPr>
              <w:t xml:space="preserve">1618 lycéens ont été interrogés sur leurs pratiques numériques, </w:t>
            </w:r>
            <w:proofErr w:type="gramStart"/>
            <w:r w:rsidRPr="00900ED6">
              <w:rPr>
                <w:sz w:val="18"/>
                <w:szCs w:val="18"/>
              </w:rPr>
              <w:t>leurs manière</w:t>
            </w:r>
            <w:proofErr w:type="gramEnd"/>
            <w:r w:rsidRPr="00900ED6">
              <w:rPr>
                <w:sz w:val="18"/>
                <w:szCs w:val="18"/>
              </w:rPr>
              <w:t xml:space="preserve"> de travailler et le temps qu</w:t>
            </w:r>
            <w:r w:rsidRPr="00900ED6">
              <w:rPr>
                <w:rFonts w:hint="eastAsia"/>
                <w:sz w:val="18"/>
                <w:szCs w:val="18"/>
              </w:rPr>
              <w:t>’</w:t>
            </w:r>
            <w:r w:rsidRPr="00900ED6">
              <w:rPr>
                <w:sz w:val="18"/>
                <w:szCs w:val="18"/>
              </w:rPr>
              <w:t>ils y consacrent. Les résultats de cette recherche mettent en évidence le rôle pondéré joué par les pratiques numér</w:t>
            </w:r>
            <w:r w:rsidRPr="00900ED6">
              <w:rPr>
                <w:sz w:val="18"/>
                <w:szCs w:val="18"/>
              </w:rPr>
              <w:t>i</w:t>
            </w:r>
            <w:r w:rsidRPr="00900ED6">
              <w:rPr>
                <w:sz w:val="18"/>
                <w:szCs w:val="18"/>
              </w:rPr>
              <w:t xml:space="preserve">ques des lycéens sur leur temps de travail personnel en regard </w:t>
            </w:r>
            <w:r w:rsidRPr="00900ED6">
              <w:rPr>
                <w:sz w:val="18"/>
              </w:rPr>
              <w:t>de leurs caractéristiques sociodémograph</w:t>
            </w:r>
            <w:r w:rsidRPr="00900ED6">
              <w:rPr>
                <w:sz w:val="18"/>
              </w:rPr>
              <w:t>i</w:t>
            </w:r>
            <w:r w:rsidRPr="00900ED6">
              <w:rPr>
                <w:sz w:val="18"/>
              </w:rPr>
              <w:t>ques, du diplôme préparé</w:t>
            </w:r>
            <w:r w:rsidRPr="00900ED6">
              <w:rPr>
                <w:sz w:val="18"/>
              </w:rPr>
              <w:t xml:space="preserve"> et</w:t>
            </w:r>
            <w:r w:rsidRPr="00900ED6">
              <w:rPr>
                <w:sz w:val="18"/>
              </w:rPr>
              <w:t xml:space="preserve"> de leurs manières d’étudier</w:t>
            </w:r>
            <w:r w:rsidRPr="00900ED6">
              <w:rPr>
                <w:sz w:val="18"/>
              </w:rPr>
              <w:t>.</w:t>
            </w:r>
          </w:p>
        </w:tc>
      </w:tr>
    </w:tbl>
    <w:p w:rsidR="00E64471" w:rsidRDefault="00E64471"/>
    <w:sectPr w:rsidR="00E64471" w:rsidSect="00E64471">
      <w:pgSz w:w="11900" w:h="16840"/>
      <w:pgMar w:top="1418" w:right="1276"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tone Sans">
    <w:altName w:val="Times New Roman"/>
    <w:charset w:val="00"/>
    <w:family w:val="swiss"/>
    <w:pitch w:val="variable"/>
    <w:sig w:usb0="00000000" w:usb1="00000000" w:usb2="00000000" w:usb3="00000000" w:csb0="00000000" w:csb1="00000000"/>
  </w:font>
  <w:font w:name="DejaVuSans">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4471"/>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5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normal0">
    <w:name w:val="normal"/>
    <w:rsid w:val="00E64471"/>
    <w:pPr>
      <w:spacing w:line="276" w:lineRule="auto"/>
    </w:pPr>
    <w:rPr>
      <w:rFonts w:ascii="Arial" w:eastAsia="Arial" w:hAnsi="Arial" w:cs="Arial"/>
      <w:color w:val="000000"/>
      <w:sz w:val="22"/>
      <w:lang w:eastAsia="fr-FR"/>
    </w:rPr>
  </w:style>
  <w:style w:type="paragraph" w:customStyle="1" w:styleId="AuteurInstitutions">
    <w:name w:val="AuteurInstitutions"/>
    <w:basedOn w:val="Normal"/>
    <w:rsid w:val="001A6CAA"/>
    <w:pPr>
      <w:suppressAutoHyphens/>
      <w:spacing w:before="240" w:line="240" w:lineRule="exact"/>
    </w:pPr>
    <w:rPr>
      <w:rFonts w:ascii="Stone Sans" w:eastAsiaTheme="minorEastAsia" w:hAnsi="Stone Sans"/>
      <w:sz w:val="20"/>
      <w:lang w:val="fr-CA"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786</Words>
  <Characters>4484</Characters>
  <Application>Microsoft Macintosh Word</Application>
  <DocSecurity>0</DocSecurity>
  <Lines>37</Lines>
  <Paragraphs>8</Paragraphs>
  <ScaleCrop>false</ScaleCrop>
  <Company>IUT de Laval</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Cottier</dc:creator>
  <cp:keywords/>
  <cp:lastModifiedBy>Philippe Cottier</cp:lastModifiedBy>
  <cp:revision>3</cp:revision>
  <dcterms:created xsi:type="dcterms:W3CDTF">2013-05-24T07:11:00Z</dcterms:created>
  <dcterms:modified xsi:type="dcterms:W3CDTF">2013-05-24T07:44:00Z</dcterms:modified>
</cp:coreProperties>
</file>